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1BE8F"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77439795"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5B9F50F9"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烈属、因公牺牲军人遗属、病故军人遗属定期抚恤金标准表</w:t>
      </w:r>
    </w:p>
    <w:p w14:paraId="75202647"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852B7B0"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（从2024年8月1日起执行）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单位：元/年</w:t>
      </w:r>
    </w:p>
    <w:tbl>
      <w:tblPr>
        <w:tblStyle w:val="6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2790"/>
        <w:gridCol w:w="3605"/>
      </w:tblGrid>
      <w:tr w14:paraId="5F7DD3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D83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烈属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FA5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因公牺牲军人遗属</w:t>
            </w:r>
          </w:p>
        </w:tc>
        <w:tc>
          <w:tcPr>
            <w:tcW w:w="3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F39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病故军人遗属</w:t>
            </w:r>
          </w:p>
        </w:tc>
      </w:tr>
      <w:tr w14:paraId="1B10F8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3FD2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41856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038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34956</w:t>
            </w:r>
          </w:p>
        </w:tc>
        <w:tc>
          <w:tcPr>
            <w:tcW w:w="3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944E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31968</w:t>
            </w:r>
          </w:p>
        </w:tc>
      </w:tr>
    </w:tbl>
    <w:p w14:paraId="0047E9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9F3C48"/>
    <w:rsid w:val="37D92D3B"/>
    <w:rsid w:val="3F0E186D"/>
    <w:rsid w:val="52BF224A"/>
    <w:rsid w:val="554F7244"/>
    <w:rsid w:val="5573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2023-05-22T08:48:00Z</dcterms:created>
  <dc:creator>lenovo</dc:creator>
  <cp:lastModifiedBy>林琦</cp:lastModifiedBy>
  <dcterms:modified xsi:type="dcterms:W3CDTF">2024-12-27T07:58:40Z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eyJoZGlkIjoiMzEwNDhjZGNjZjQ0NjE5Yzc1MWI3MmY3YWEyZDBlZTUiLCJ1c2VySWQiOiIyMDQwMzMwNDEifQ==</vt:lpwstr>
  </property>
  <property fmtid="{D5CDD505-2E9C-101B-9397-08002B2CF9AE}" pid="4" name="ICV">
    <vt:lpwstr>6CC35AEAB4124AC0AD67509B8E445E03_12</vt:lpwstr>
  </property>
</Properties>
</file>