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0DB" w:rsidRDefault="00ED70DB">
      <w:pPr>
        <w:ind w:firstLine="600"/>
        <w:jc w:val="center"/>
        <w:rPr>
          <w:rFonts w:ascii="方正小标宋简体" w:eastAsia="方正小标宋简体" w:hAnsi="方正小标宋简体" w:cs="方正小标宋简体" w:hint="eastAsia"/>
          <w:color w:val="000000"/>
          <w:sz w:val="44"/>
          <w:szCs w:val="44"/>
        </w:rPr>
      </w:pPr>
      <w:bookmarkStart w:id="0" w:name="_GoBack"/>
      <w:bookmarkEnd w:id="0"/>
    </w:p>
    <w:p w:rsidR="00ED70DB" w:rsidRDefault="00ED70DB">
      <w:pPr>
        <w:ind w:firstLine="600"/>
        <w:jc w:val="center"/>
        <w:rPr>
          <w:rFonts w:ascii="方正小标宋简体" w:eastAsia="方正小标宋简体" w:hAnsi="方正小标宋简体" w:cs="方正小标宋简体" w:hint="eastAsia"/>
          <w:color w:val="000000"/>
          <w:sz w:val="44"/>
          <w:szCs w:val="44"/>
        </w:rPr>
      </w:pPr>
      <w:r w:rsidRPr="005D37E5">
        <w:rPr>
          <w:rFonts w:ascii="方正小标宋简体" w:eastAsia="方正小标宋简体" w:hAnsi="方正小标宋简体" w:cs="方正小标宋简体" w:hint="eastAsia"/>
          <w:color w:val="000000"/>
          <w:sz w:val="44"/>
          <w:szCs w:val="44"/>
        </w:rPr>
        <w:t>辽宁省省级烈士纪念设施保护管理实施细则</w:t>
      </w:r>
    </w:p>
    <w:p w:rsidR="00D549E6" w:rsidRPr="00D549E6" w:rsidRDefault="00D549E6" w:rsidP="00D549E6">
      <w:pPr>
        <w:pStyle w:val="a0"/>
        <w:jc w:val="center"/>
        <w:rPr>
          <w:rFonts w:ascii="楷体_GB2312" w:eastAsia="楷体_GB2312" w:hint="eastAsia"/>
          <w:sz w:val="36"/>
        </w:rPr>
      </w:pPr>
      <w:r w:rsidRPr="00D549E6">
        <w:rPr>
          <w:rFonts w:ascii="楷体_GB2312" w:eastAsia="楷体_GB2312" w:hint="eastAsia"/>
          <w:sz w:val="36"/>
        </w:rPr>
        <w:t>（暂  行）</w:t>
      </w:r>
    </w:p>
    <w:p w:rsidR="00ED70DB" w:rsidRPr="005D37E5" w:rsidRDefault="00ED70DB">
      <w:pPr>
        <w:spacing w:line="560" w:lineRule="exact"/>
        <w:ind w:firstLine="601"/>
        <w:rPr>
          <w:rFonts w:ascii="仿宋" w:eastAsia="仿宋" w:hAnsi="仿宋" w:cs="仿宋" w:hint="eastAsia"/>
          <w:color w:val="000000"/>
          <w:sz w:val="32"/>
          <w:szCs w:val="32"/>
        </w:rPr>
      </w:pP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b/>
          <w:bCs/>
          <w:color w:val="000000"/>
          <w:sz w:val="32"/>
          <w:szCs w:val="32"/>
        </w:rPr>
        <w:t>第一条</w:t>
      </w:r>
      <w:r w:rsidRPr="005D37E5">
        <w:rPr>
          <w:rFonts w:ascii="仿宋" w:eastAsia="仿宋" w:hAnsi="仿宋" w:cs="仿宋" w:hint="eastAsia"/>
          <w:color w:val="000000"/>
          <w:sz w:val="32"/>
          <w:szCs w:val="32"/>
        </w:rPr>
        <w:t xml:space="preserve">  为规范我省省级烈士纪念设施保护管理，更好发挥烈士纪念设施褒扬英烈、教育后人的红色资源作用，进一步传承弘扬英烈精神和爱国主义精神，根据《中华人民共和国英雄烈士保护法》《烈士褒扬条例》《烈士纪念设施保护管理办法》等法律法规，结合我省实际，制定本实施细则。</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b/>
          <w:bCs/>
          <w:color w:val="000000"/>
          <w:sz w:val="32"/>
          <w:szCs w:val="32"/>
        </w:rPr>
        <w:t>第二条</w:t>
      </w:r>
      <w:r w:rsidRPr="005D37E5">
        <w:rPr>
          <w:rFonts w:ascii="仿宋" w:eastAsia="仿宋" w:hAnsi="仿宋" w:cs="仿宋" w:hint="eastAsia"/>
          <w:color w:val="000000"/>
          <w:sz w:val="32"/>
          <w:szCs w:val="32"/>
        </w:rPr>
        <w:t xml:space="preserve">  本实施细则所称烈士纪念设施，是指在辽宁省域内按照国家有关规定为纪念缅怀英烈专门修建的烈士陵园、烈士墓、烈士骨灰堂、烈士英名墙、纪念堂馆、纪念碑亭、纪念塔祠、纪念塑像、纪念广场等设施。</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b/>
          <w:bCs/>
          <w:color w:val="000000"/>
          <w:sz w:val="32"/>
          <w:szCs w:val="32"/>
        </w:rPr>
        <w:t>第三条</w:t>
      </w:r>
      <w:r w:rsidRPr="005D37E5">
        <w:rPr>
          <w:rFonts w:ascii="仿宋" w:eastAsia="仿宋" w:hAnsi="仿宋" w:cs="仿宋" w:hint="eastAsia"/>
          <w:color w:val="000000"/>
          <w:sz w:val="32"/>
          <w:szCs w:val="32"/>
        </w:rPr>
        <w:t xml:space="preserve">  省级烈士纪念设施应当按照基础设施完备、保护状况优良、机构制度健全、服务管理规范、功能发挥显著的要求，加强保护管理工作。</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b/>
          <w:bCs/>
          <w:color w:val="000000"/>
          <w:sz w:val="32"/>
          <w:szCs w:val="32"/>
        </w:rPr>
        <w:t>第四条</w:t>
      </w:r>
      <w:r w:rsidRPr="005D37E5">
        <w:rPr>
          <w:rFonts w:ascii="仿宋" w:eastAsia="仿宋" w:hAnsi="仿宋" w:cs="仿宋" w:hint="eastAsia"/>
          <w:color w:val="000000"/>
          <w:sz w:val="32"/>
          <w:szCs w:val="32"/>
        </w:rPr>
        <w:t xml:space="preserve">  所在地县级以上退役军人工作主管部门负责本区域内省级烈士纪念设施管理保护工作，并报请同级人民政府确定保护单位，具体负责烈士纪念设施保护管理工作，加强工作力量，明确管理责任。</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b/>
          <w:bCs/>
          <w:color w:val="000000"/>
          <w:sz w:val="32"/>
          <w:szCs w:val="32"/>
        </w:rPr>
        <w:t>第五条</w:t>
      </w:r>
      <w:r w:rsidRPr="005D37E5">
        <w:rPr>
          <w:rFonts w:ascii="仿宋" w:eastAsia="仿宋" w:hAnsi="仿宋" w:cs="仿宋" w:hint="eastAsia"/>
          <w:color w:val="000000"/>
          <w:sz w:val="32"/>
          <w:szCs w:val="32"/>
        </w:rPr>
        <w:t xml:space="preserve">  所在地县级以上人民政府应当按实际需求安排烈士</w:t>
      </w:r>
      <w:r w:rsidRPr="005D37E5">
        <w:rPr>
          <w:rFonts w:ascii="仿宋" w:eastAsia="仿宋" w:hAnsi="仿宋" w:cs="仿宋" w:hint="eastAsia"/>
          <w:color w:val="000000"/>
          <w:sz w:val="32"/>
          <w:szCs w:val="32"/>
        </w:rPr>
        <w:lastRenderedPageBreak/>
        <w:t>纪念设施保护管理和维修改造经费，用于烈士纪念设施维修改造、设备更新、环境整治、展陈宣传和祭扫纪念活动等工作。</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b/>
          <w:bCs/>
          <w:color w:val="000000"/>
          <w:sz w:val="32"/>
          <w:szCs w:val="32"/>
        </w:rPr>
        <w:t>第六条</w:t>
      </w:r>
      <w:r w:rsidRPr="005D37E5">
        <w:rPr>
          <w:rFonts w:ascii="仿宋" w:eastAsia="仿宋" w:hAnsi="仿宋" w:cs="仿宋" w:hint="eastAsia"/>
          <w:color w:val="000000"/>
          <w:sz w:val="32"/>
          <w:szCs w:val="32"/>
        </w:rPr>
        <w:t xml:space="preserve">  符合下列基本条件之一的烈士纪念设施，可以申报省级烈士纪念设施：</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color w:val="000000"/>
          <w:sz w:val="32"/>
          <w:szCs w:val="32"/>
        </w:rPr>
        <w:t>（一）为纪念在中国革命、建设、改革等各个历史时期有重大影响的事件、重要战役和主要革命根据地斗争中牺牲的烈士而修建的烈士纪念设施；</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color w:val="000000"/>
          <w:sz w:val="32"/>
          <w:szCs w:val="32"/>
        </w:rPr>
        <w:t>（二）为纪念有重要影响的烈士而修建的烈士纪念设施；</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color w:val="000000"/>
          <w:sz w:val="32"/>
          <w:szCs w:val="32"/>
        </w:rPr>
        <w:t>（三）安葬烈士数量较多或设施规模较大的烈士纪念设施；</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color w:val="000000"/>
          <w:sz w:val="32"/>
          <w:szCs w:val="32"/>
        </w:rPr>
        <w:t>（四）基础设施功能完备、规划建设特色明显、褒扬教育作用发挥较好，具有较强区域影响力的其他烈士纪念设施。</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b/>
          <w:bCs/>
          <w:color w:val="000000"/>
          <w:sz w:val="32"/>
          <w:szCs w:val="32"/>
        </w:rPr>
        <w:t>第七条</w:t>
      </w:r>
      <w:r w:rsidRPr="005D37E5">
        <w:rPr>
          <w:rFonts w:ascii="仿宋" w:eastAsia="仿宋" w:hAnsi="仿宋" w:cs="仿宋" w:hint="eastAsia"/>
          <w:color w:val="000000"/>
          <w:sz w:val="32"/>
          <w:szCs w:val="32"/>
        </w:rPr>
        <w:t xml:space="preserve">  申报省级烈士纪念设施保护级别，应提供以下材料：</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color w:val="000000"/>
          <w:sz w:val="32"/>
          <w:szCs w:val="32"/>
        </w:rPr>
        <w:t>（一）烈士纪念设施基本情况；</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color w:val="000000"/>
          <w:sz w:val="32"/>
          <w:szCs w:val="32"/>
        </w:rPr>
        <w:t>（二）烈士纪念设施保护单位或者管理单位情况；</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color w:val="000000"/>
          <w:sz w:val="32"/>
          <w:szCs w:val="32"/>
        </w:rPr>
        <w:t>（三）烈士纪念设施作用发挥情况；</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color w:val="000000"/>
          <w:sz w:val="32"/>
          <w:szCs w:val="32"/>
        </w:rPr>
        <w:t>（四）烈士纪念设施建设批准相关材料；</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color w:val="000000"/>
          <w:sz w:val="32"/>
          <w:szCs w:val="32"/>
        </w:rPr>
        <w:t>（五）烈士纪念设施建设规划平面图；</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color w:val="000000"/>
          <w:sz w:val="32"/>
          <w:szCs w:val="32"/>
        </w:rPr>
        <w:t>（六）不动产权证书（或原产权证书）</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color w:val="000000"/>
          <w:sz w:val="32"/>
          <w:szCs w:val="32"/>
        </w:rPr>
        <w:t>（七）保护范围证明；</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color w:val="000000"/>
          <w:sz w:val="32"/>
          <w:szCs w:val="32"/>
        </w:rPr>
        <w:t>（八）主要纪念设施的现状照片；</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color w:val="000000"/>
          <w:sz w:val="32"/>
          <w:szCs w:val="32"/>
        </w:rPr>
        <w:t>（九）法律法规、规章规定需要提供的其他资料。</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b/>
          <w:bCs/>
          <w:color w:val="000000"/>
          <w:sz w:val="32"/>
          <w:szCs w:val="32"/>
        </w:rPr>
        <w:t>第八条</w:t>
      </w:r>
      <w:r w:rsidRPr="005D37E5">
        <w:rPr>
          <w:rFonts w:ascii="仿宋" w:eastAsia="仿宋" w:hAnsi="仿宋" w:cs="仿宋" w:hint="eastAsia"/>
          <w:color w:val="000000"/>
          <w:sz w:val="32"/>
          <w:szCs w:val="32"/>
        </w:rPr>
        <w:t xml:space="preserve">  申报评定省级烈士纪念设施，按照下列程序进行：</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color w:val="000000"/>
          <w:sz w:val="32"/>
          <w:szCs w:val="32"/>
        </w:rPr>
        <w:lastRenderedPageBreak/>
        <w:t>（一）烈士纪念设施所在地县级退役军人事务部门向市级退役军人事务部门提交书面申报请示并附相关材料；</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color w:val="000000"/>
          <w:sz w:val="32"/>
          <w:szCs w:val="32"/>
        </w:rPr>
        <w:t>（二）市级退役军人事务部门初审后，对符合条件的申报材料提交省退役军人事务厅；烈士纪念设施保护管理单位为地市级的，由市级退役军人事务部门向省退役军人事务厅提交书面申报请示并附相关材料；</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color w:val="000000"/>
          <w:sz w:val="32"/>
          <w:szCs w:val="32"/>
        </w:rPr>
        <w:t>（三）省退役军人事务厅对申报材料进行审核，并会同省直相关部门组成考评组，进行实地考评，提出审核意见；</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color w:val="000000"/>
          <w:sz w:val="32"/>
          <w:szCs w:val="32"/>
        </w:rPr>
        <w:t>（四）省退役军人事务厅在网站上公示20个工作日；</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color w:val="000000"/>
          <w:sz w:val="32"/>
          <w:szCs w:val="32"/>
        </w:rPr>
        <w:t>（五）省退役军人事务厅将审核意见报省政府批准，并将省级烈士纪念设施向社会公布；</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color w:val="000000"/>
          <w:sz w:val="32"/>
          <w:szCs w:val="32"/>
        </w:rPr>
        <w:t>（六）公布后20个工作日内，省退役军人事务厅将省政府批准的省级烈士纪念设施报退役军人事务部备案。</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b/>
          <w:bCs/>
          <w:color w:val="000000"/>
          <w:sz w:val="32"/>
          <w:szCs w:val="32"/>
        </w:rPr>
        <w:t>第九条</w:t>
      </w:r>
      <w:r w:rsidRPr="005D37E5">
        <w:rPr>
          <w:rFonts w:ascii="仿宋" w:eastAsia="仿宋" w:hAnsi="仿宋" w:cs="仿宋" w:hint="eastAsia"/>
          <w:color w:val="000000"/>
          <w:sz w:val="32"/>
          <w:szCs w:val="32"/>
        </w:rPr>
        <w:t xml:space="preserve">  符合本实施细则第六条基本条件之一，并达到以下建设和管理保护标准的可以评定为省级烈士纪念设施：</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color w:val="000000"/>
          <w:sz w:val="32"/>
          <w:szCs w:val="32"/>
        </w:rPr>
        <w:t>（一）烈士纪念设施的建设和保护纳入当地国民经济和社会发展整体规划；</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color w:val="000000"/>
          <w:sz w:val="32"/>
          <w:szCs w:val="32"/>
        </w:rPr>
        <w:t>（二）有专门的烈士纪念设施保护管理单位，工作力量充实，岗位设置合理、责任明确，日常保护管理经费到位；</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color w:val="000000"/>
          <w:sz w:val="32"/>
          <w:szCs w:val="32"/>
        </w:rPr>
        <w:t>（三）烈士纪念设施布局合理、庄严肃穆、环境优美，具备组织祭扫纪念活动基本条件；</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color w:val="000000"/>
          <w:sz w:val="32"/>
          <w:szCs w:val="32"/>
        </w:rPr>
        <w:t>（四）有专门的展陈设施，展陈史料翔实、布展形式新颖、适</w:t>
      </w:r>
      <w:r w:rsidRPr="005D37E5">
        <w:rPr>
          <w:rFonts w:ascii="仿宋" w:eastAsia="仿宋" w:hAnsi="仿宋" w:cs="仿宋" w:hint="eastAsia"/>
          <w:color w:val="000000"/>
          <w:sz w:val="32"/>
          <w:szCs w:val="32"/>
        </w:rPr>
        <w:lastRenderedPageBreak/>
        <w:t>当运用数字科技手段，配备讲解员，能充分发挥其教育作用；</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color w:val="000000"/>
          <w:sz w:val="32"/>
          <w:szCs w:val="32"/>
        </w:rPr>
        <w:t>（五）原则上为市级烈士纪念设施。</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b/>
          <w:bCs/>
          <w:color w:val="000000"/>
          <w:sz w:val="32"/>
          <w:szCs w:val="32"/>
        </w:rPr>
        <w:t>第十条</w:t>
      </w:r>
      <w:r w:rsidRPr="005D37E5">
        <w:rPr>
          <w:rFonts w:ascii="仿宋" w:eastAsia="仿宋" w:hAnsi="仿宋" w:cs="仿宋" w:hint="eastAsia"/>
          <w:color w:val="000000"/>
          <w:sz w:val="32"/>
          <w:szCs w:val="32"/>
        </w:rPr>
        <w:t xml:space="preserve">  省级烈士纪念设施保护单位和管理单位</w:t>
      </w:r>
      <w:r w:rsidR="00117DCB" w:rsidRPr="005D37E5">
        <w:rPr>
          <w:rFonts w:ascii="仿宋" w:eastAsia="仿宋" w:hAnsi="仿宋" w:cs="仿宋" w:hint="eastAsia"/>
          <w:color w:val="000000"/>
          <w:sz w:val="32"/>
          <w:szCs w:val="32"/>
        </w:rPr>
        <w:t>的上级主管部门</w:t>
      </w:r>
      <w:r w:rsidRPr="005D37E5">
        <w:rPr>
          <w:rFonts w:ascii="仿宋" w:eastAsia="仿宋" w:hAnsi="仿宋" w:cs="仿宋" w:hint="eastAsia"/>
          <w:color w:val="000000"/>
          <w:sz w:val="32"/>
          <w:szCs w:val="32"/>
        </w:rPr>
        <w:t>应当根据烈士纪念设施的类别、规模、保护级别以及周边环境等情况，提出划定烈士纪念设施保护范围的方案，报同级人民政府批准后公布，并报上一级退役军人工作主管部门备案。</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color w:val="000000"/>
          <w:sz w:val="32"/>
          <w:szCs w:val="32"/>
        </w:rPr>
        <w:t>对属于文物的省级烈士纪念设施，应当按照文物保护法律法规划定保护范围和建设控制地带。</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color w:val="000000"/>
          <w:sz w:val="32"/>
          <w:szCs w:val="32"/>
        </w:rPr>
        <w:t>省级烈士纪念设施应当设立保护标志，由退役军人工作主管部门负责按照规定式样统一设立。</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b/>
          <w:bCs/>
          <w:color w:val="000000"/>
          <w:sz w:val="32"/>
          <w:szCs w:val="32"/>
        </w:rPr>
        <w:t>第十一条</w:t>
      </w:r>
      <w:r w:rsidRPr="005D37E5">
        <w:rPr>
          <w:rFonts w:ascii="仿宋" w:eastAsia="仿宋" w:hAnsi="仿宋" w:cs="仿宋" w:hint="eastAsia"/>
          <w:color w:val="000000"/>
          <w:sz w:val="32"/>
          <w:szCs w:val="32"/>
        </w:rPr>
        <w:t xml:space="preserve">  省级烈士纪念设施保护单位和管理单位应当办理不动产登记，确认省级烈士设施不动产权属。</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b/>
          <w:bCs/>
          <w:color w:val="000000"/>
          <w:sz w:val="32"/>
          <w:szCs w:val="32"/>
        </w:rPr>
        <w:t>第十二条</w:t>
      </w:r>
      <w:r w:rsidRPr="005D37E5">
        <w:rPr>
          <w:rFonts w:ascii="仿宋" w:eastAsia="仿宋" w:hAnsi="仿宋" w:cs="仿宋" w:hint="eastAsia"/>
          <w:color w:val="000000"/>
          <w:sz w:val="32"/>
          <w:szCs w:val="32"/>
        </w:rPr>
        <w:t xml:space="preserve">  新建、迁建、改扩建省级烈士纪念设施，应当经省退役军人事务厅审核并报省政府批准后实施。</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color w:val="000000"/>
          <w:sz w:val="32"/>
          <w:szCs w:val="32"/>
        </w:rPr>
        <w:t>涉及重大革命历史题材、已故领导同志、已故著名党史人物、已故著名党外人士、已故近代名人的烈士纪念设施的新建、迁建、改扩建，应当按规定逐级上报，经党中央、国务院批准后实施。</w:t>
      </w:r>
    </w:p>
    <w:p w:rsidR="00ED70DB" w:rsidRPr="005D37E5" w:rsidRDefault="00ED70DB">
      <w:pPr>
        <w:spacing w:line="560" w:lineRule="exact"/>
        <w:ind w:firstLine="601"/>
        <w:rPr>
          <w:rFonts w:ascii="仿宋" w:eastAsia="仿宋" w:hAnsi="仿宋" w:cs="仿宋"/>
          <w:color w:val="000000"/>
          <w:sz w:val="32"/>
          <w:szCs w:val="32"/>
        </w:rPr>
      </w:pPr>
      <w:r w:rsidRPr="005D37E5">
        <w:rPr>
          <w:rFonts w:ascii="仿宋" w:eastAsia="仿宋" w:hAnsi="仿宋" w:cs="仿宋" w:hint="eastAsia"/>
          <w:b/>
          <w:bCs/>
          <w:color w:val="000000"/>
          <w:sz w:val="32"/>
          <w:szCs w:val="32"/>
        </w:rPr>
        <w:t>第十三条</w:t>
      </w:r>
      <w:r w:rsidRPr="005D37E5">
        <w:rPr>
          <w:rFonts w:ascii="仿宋" w:eastAsia="仿宋" w:hAnsi="仿宋" w:cs="仿宋" w:hint="eastAsia"/>
          <w:color w:val="000000"/>
          <w:sz w:val="32"/>
          <w:szCs w:val="32"/>
        </w:rPr>
        <w:t xml:space="preserve">  新建、迁建、改扩建省级烈士纪念设施，应当提出书面申请，申请材料包括项目名称、建设理由、建设内容、展陈内容、占地面积、建筑面积、用地性质、投资估算、资金来源等内容。新建省级烈士纪念设施的，应同时提交申报保护级别文件。</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b/>
          <w:bCs/>
          <w:color w:val="000000"/>
          <w:sz w:val="32"/>
          <w:szCs w:val="32"/>
        </w:rPr>
        <w:lastRenderedPageBreak/>
        <w:t>第十四条</w:t>
      </w:r>
      <w:r w:rsidRPr="005D37E5">
        <w:rPr>
          <w:rFonts w:ascii="仿宋" w:eastAsia="仿宋" w:hAnsi="仿宋" w:cs="仿宋" w:hint="eastAsia"/>
          <w:color w:val="000000"/>
          <w:sz w:val="32"/>
          <w:szCs w:val="32"/>
        </w:rPr>
        <w:t xml:space="preserve">  省级烈士纪念设施名称应当严格按照核定保护级别时确定名称规范表述。</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color w:val="000000"/>
          <w:sz w:val="32"/>
          <w:szCs w:val="32"/>
        </w:rPr>
        <w:t>省级烈士纪念设施确需更名的，应由省退役军人事务厅批准后公布，并报省政府和退役军人事务部备案。</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b/>
          <w:bCs/>
          <w:color w:val="000000"/>
          <w:sz w:val="32"/>
          <w:szCs w:val="32"/>
        </w:rPr>
        <w:t>第十五条</w:t>
      </w:r>
      <w:r w:rsidRPr="005D37E5">
        <w:rPr>
          <w:rFonts w:ascii="仿宋" w:eastAsia="仿宋" w:hAnsi="仿宋" w:cs="仿宋" w:hint="eastAsia"/>
          <w:color w:val="000000"/>
          <w:sz w:val="32"/>
          <w:szCs w:val="32"/>
        </w:rPr>
        <w:t xml:space="preserve">  所在地县级以上人民政府应当把省级烈士纪念设施的基本建设、维护，纳入当地经济社会发展、国土空间规划，重视烈士纪念设施基础建设，实现亮化、绿化、美化、净化标准，使省级烈士纪念设施成为环境优美、氛围庄严肃穆的瞻仰和教育场所；积极创建爱国主义教育基地、红色旅游景点景区、A级旅游景区、国防教育基地等，推动省级烈士纪念设施与红色旅游景点线路、国防教育基地建设融合发展。</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b/>
          <w:bCs/>
          <w:color w:val="000000"/>
          <w:sz w:val="32"/>
          <w:szCs w:val="32"/>
        </w:rPr>
        <w:t>第十六条</w:t>
      </w:r>
      <w:r w:rsidRPr="005D37E5">
        <w:rPr>
          <w:rFonts w:ascii="仿宋" w:eastAsia="仿宋" w:hAnsi="仿宋" w:cs="仿宋" w:hint="eastAsia"/>
          <w:color w:val="000000"/>
          <w:sz w:val="32"/>
          <w:szCs w:val="32"/>
        </w:rPr>
        <w:t xml:space="preserve">  省级烈士纪念设施保护单位和管理单位应当积极收集、整理和妥善保护烈士史料和遗物，开展烈士史料征集研究、事迹编撰和陈列展示工作，不断丰富馆藏内容，打造精品展陈。</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b/>
          <w:bCs/>
          <w:color w:val="000000"/>
          <w:sz w:val="32"/>
          <w:szCs w:val="32"/>
        </w:rPr>
        <w:t>第十七条</w:t>
      </w:r>
      <w:r w:rsidRPr="005D37E5">
        <w:rPr>
          <w:rFonts w:ascii="仿宋" w:eastAsia="仿宋" w:hAnsi="仿宋" w:cs="仿宋" w:hint="eastAsia"/>
          <w:color w:val="000000"/>
          <w:sz w:val="32"/>
          <w:szCs w:val="32"/>
        </w:rPr>
        <w:t xml:space="preserve">  省级烈士纪念设施保护单位和管理单位应当及时更新优化展陈，在保持基本陈列相对稳定的前提下，及时补充完善体现时代精神和新史料新成果的展陈内容，经审批可每5年进行一次局部改陈布展，每10年进行一次全面改陈布展。</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color w:val="000000"/>
          <w:sz w:val="32"/>
          <w:szCs w:val="32"/>
        </w:rPr>
        <w:t>省级烈士纪念设施改陈布展，由所在地县级以上退役军人事务部门提出申请，基本陈列改陈布展大纲和版式稿报省退役军人事务厅商有关部门审定。</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b/>
          <w:bCs/>
          <w:color w:val="000000"/>
          <w:sz w:val="32"/>
          <w:szCs w:val="32"/>
        </w:rPr>
        <w:t>第十八条</w:t>
      </w:r>
      <w:r w:rsidRPr="005D37E5">
        <w:rPr>
          <w:rFonts w:ascii="仿宋" w:eastAsia="仿宋" w:hAnsi="仿宋" w:cs="仿宋" w:hint="eastAsia"/>
          <w:color w:val="000000"/>
          <w:sz w:val="32"/>
          <w:szCs w:val="32"/>
        </w:rPr>
        <w:t xml:space="preserve">  所在地县级以上退役军人事务部门应当会同相关</w:t>
      </w:r>
      <w:r w:rsidRPr="005D37E5">
        <w:rPr>
          <w:rFonts w:ascii="仿宋" w:eastAsia="仿宋" w:hAnsi="仿宋" w:cs="仿宋" w:hint="eastAsia"/>
          <w:color w:val="000000"/>
          <w:sz w:val="32"/>
          <w:szCs w:val="32"/>
        </w:rPr>
        <w:lastRenderedPageBreak/>
        <w:t>部门建立解说词研究审查制度，切实把好政治关、史实关，增强讲解的准确性、完整性和权威性。</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b/>
          <w:bCs/>
          <w:color w:val="000000"/>
          <w:sz w:val="32"/>
          <w:szCs w:val="32"/>
        </w:rPr>
        <w:t>第十九条</w:t>
      </w:r>
      <w:r w:rsidRPr="005D37E5">
        <w:rPr>
          <w:rFonts w:ascii="仿宋" w:eastAsia="仿宋" w:hAnsi="仿宋" w:cs="仿宋" w:hint="eastAsia"/>
          <w:color w:val="000000"/>
          <w:sz w:val="32"/>
          <w:szCs w:val="32"/>
        </w:rPr>
        <w:t xml:space="preserve">  省级烈士纪念设施保护单位和管理单位要建立健全瞻仰和祭扫服务制度。要在做好日常开放接待工作的同时，深入开展形式多样的共建共育活动，切实发挥好功能作用。要建立健全岗位职责、值班、防火安全等各类制度，对工作人员定期进行职业教育和业务培训。加强内部管理，采取培训、进修、交流等多种形式，培养具有较高水平的管理、研究和讲解专职队伍。</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b/>
          <w:bCs/>
          <w:color w:val="000000"/>
          <w:sz w:val="32"/>
          <w:szCs w:val="32"/>
        </w:rPr>
        <w:t>第二十条</w:t>
      </w:r>
      <w:r w:rsidRPr="005D37E5">
        <w:rPr>
          <w:rFonts w:ascii="仿宋" w:eastAsia="仿宋" w:hAnsi="仿宋" w:cs="仿宋" w:hint="eastAsia"/>
          <w:color w:val="000000"/>
          <w:sz w:val="32"/>
          <w:szCs w:val="32"/>
        </w:rPr>
        <w:t xml:space="preserve">  省级烈士纪念设施所在地县级以上退役军人事务部门应当指导其保护单位和管理单位充分发挥红色资源优势，拓展宣传教育功能，扩大社会影响力。</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color w:val="000000"/>
          <w:sz w:val="32"/>
          <w:szCs w:val="32"/>
        </w:rPr>
        <w:t>省级烈士纪念设施保护单位和管理单位应当加强网络宣传教育，通过开设网站和利用新媒体平台，为社会公众提供网上祭扫和学习教育平台，宣传英烈事迹，弘扬英烈精神。</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b/>
          <w:bCs/>
          <w:color w:val="000000"/>
          <w:sz w:val="32"/>
          <w:szCs w:val="32"/>
        </w:rPr>
        <w:t>第二十一条</w:t>
      </w:r>
      <w:r w:rsidRPr="005D37E5">
        <w:rPr>
          <w:rFonts w:ascii="仿宋" w:eastAsia="仿宋" w:hAnsi="仿宋" w:cs="仿宋" w:hint="eastAsia"/>
          <w:color w:val="000000"/>
          <w:sz w:val="32"/>
          <w:szCs w:val="32"/>
        </w:rPr>
        <w:t xml:space="preserve">  省级烈士纪念设施免费向社会开放。</w:t>
      </w:r>
    </w:p>
    <w:p w:rsidR="00ED70DB" w:rsidRPr="005D37E5" w:rsidRDefault="00ED70DB">
      <w:pPr>
        <w:spacing w:line="560" w:lineRule="exact"/>
        <w:ind w:firstLine="601"/>
        <w:rPr>
          <w:rFonts w:ascii="仿宋" w:eastAsia="仿宋" w:hAnsi="仿宋" w:cs="仿宋"/>
          <w:color w:val="000000"/>
          <w:sz w:val="32"/>
          <w:szCs w:val="32"/>
        </w:rPr>
      </w:pPr>
      <w:r w:rsidRPr="005D37E5">
        <w:rPr>
          <w:rFonts w:ascii="仿宋" w:eastAsia="仿宋" w:hAnsi="仿宋" w:cs="仿宋" w:hint="eastAsia"/>
          <w:b/>
          <w:bCs/>
          <w:color w:val="000000"/>
          <w:sz w:val="32"/>
          <w:szCs w:val="32"/>
        </w:rPr>
        <w:t>第二十二条</w:t>
      </w:r>
      <w:r w:rsidRPr="005D37E5">
        <w:rPr>
          <w:rFonts w:ascii="仿宋" w:eastAsia="仿宋" w:hAnsi="仿宋" w:cs="仿宋" w:hint="eastAsia"/>
          <w:color w:val="000000"/>
          <w:sz w:val="32"/>
          <w:szCs w:val="32"/>
        </w:rPr>
        <w:t xml:space="preserve">  省退役军人事务厅应当会同有关部门每4年对全省省级烈士设施进行一次排查，建立排查档案。对保护不力、管理不善、作用发挥不充分的省级烈士纪念设施保护单位或管理单位进行通报批评，限期整改；情节严重的，依法依规追究责任。</w:t>
      </w:r>
    </w:p>
    <w:p w:rsidR="00A965A6" w:rsidRPr="005D37E5" w:rsidRDefault="00ED70DB" w:rsidP="0090011E">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b/>
          <w:bCs/>
          <w:color w:val="000000"/>
          <w:sz w:val="32"/>
          <w:szCs w:val="32"/>
        </w:rPr>
        <w:t>第二十三条</w:t>
      </w:r>
      <w:r w:rsidRPr="005D37E5">
        <w:rPr>
          <w:rFonts w:ascii="仿宋" w:eastAsia="仿宋" w:hAnsi="仿宋" w:cs="仿宋" w:hint="eastAsia"/>
          <w:color w:val="000000"/>
          <w:sz w:val="32"/>
          <w:szCs w:val="32"/>
        </w:rPr>
        <w:t xml:space="preserve">  </w:t>
      </w:r>
      <w:r w:rsidR="00A965A6" w:rsidRPr="005D37E5">
        <w:rPr>
          <w:rFonts w:ascii="仿宋" w:eastAsia="仿宋" w:hAnsi="仿宋" w:cs="仿宋" w:hint="eastAsia"/>
          <w:color w:val="000000"/>
          <w:sz w:val="32"/>
          <w:szCs w:val="32"/>
        </w:rPr>
        <w:t>烈士纪念设施保护范围内的土地和设施受法律保护，任何组织和个人不得在烈士纪念设施保护范围内从事与纪念英烈无关</w:t>
      </w:r>
      <w:r w:rsidR="0090011E" w:rsidRPr="005D37E5">
        <w:rPr>
          <w:rFonts w:ascii="仿宋" w:eastAsia="仿宋" w:hAnsi="仿宋" w:cs="仿宋" w:hint="eastAsia"/>
          <w:color w:val="000000"/>
          <w:sz w:val="32"/>
          <w:szCs w:val="32"/>
        </w:rPr>
        <w:t>或者有损纪念英烈环境和氛围的活动，不得侵占烈士</w:t>
      </w:r>
      <w:r w:rsidR="0090011E" w:rsidRPr="005D37E5">
        <w:rPr>
          <w:rFonts w:ascii="仿宋" w:eastAsia="仿宋" w:hAnsi="仿宋" w:cs="仿宋" w:hint="eastAsia"/>
          <w:color w:val="000000"/>
          <w:sz w:val="32"/>
          <w:szCs w:val="32"/>
        </w:rPr>
        <w:lastRenderedPageBreak/>
        <w:t>纪念设施保护范围内的土地和设施，不得破坏、污损烈士纪念设施。</w:t>
      </w:r>
    </w:p>
    <w:p w:rsidR="0090011E" w:rsidRPr="005D37E5" w:rsidRDefault="0090011E" w:rsidP="0090011E">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color w:val="000000"/>
          <w:sz w:val="32"/>
          <w:szCs w:val="32"/>
        </w:rPr>
        <w:t>在烈士纪念设施保护范围内从事有损纪念英烈环境和氛围活动的，省级烈士纪念设施保护单位和管理单位应当及时劝阻；不听劝阻的，由</w:t>
      </w:r>
      <w:r w:rsidR="00624BB6" w:rsidRPr="005D37E5">
        <w:rPr>
          <w:rFonts w:ascii="仿宋" w:eastAsia="仿宋" w:hAnsi="仿宋" w:cs="仿宋" w:hint="eastAsia"/>
          <w:color w:val="000000"/>
          <w:sz w:val="32"/>
          <w:szCs w:val="32"/>
        </w:rPr>
        <w:t>烈士纪念设施的退役军人工作主管部门会同有关部门按职责规定给予批评教育，责令改正。</w:t>
      </w:r>
    </w:p>
    <w:p w:rsidR="00ED70DB" w:rsidRPr="005D37E5" w:rsidRDefault="00624BB6" w:rsidP="00624BB6">
      <w:pPr>
        <w:spacing w:line="560" w:lineRule="exact"/>
        <w:ind w:firstLineChars="200" w:firstLine="624"/>
        <w:rPr>
          <w:rFonts w:ascii="仿宋" w:eastAsia="仿宋" w:hAnsi="仿宋" w:cs="仿宋" w:hint="eastAsia"/>
          <w:color w:val="000000"/>
          <w:sz w:val="32"/>
          <w:szCs w:val="32"/>
        </w:rPr>
      </w:pPr>
      <w:r w:rsidRPr="005D37E5">
        <w:rPr>
          <w:rFonts w:ascii="仿宋" w:eastAsia="仿宋" w:hAnsi="仿宋" w:cs="仿宋" w:hint="eastAsia"/>
          <w:b/>
          <w:color w:val="000000"/>
          <w:sz w:val="32"/>
          <w:szCs w:val="32"/>
        </w:rPr>
        <w:t>第二十四条</w:t>
      </w:r>
      <w:r w:rsidRPr="005D37E5">
        <w:rPr>
          <w:rFonts w:ascii="仿宋" w:eastAsia="仿宋" w:hAnsi="仿宋" w:cs="仿宋" w:hint="eastAsia"/>
          <w:color w:val="000000"/>
          <w:sz w:val="32"/>
          <w:szCs w:val="32"/>
        </w:rPr>
        <w:t xml:space="preserve">  </w:t>
      </w:r>
      <w:r w:rsidR="00ED70DB" w:rsidRPr="005D37E5">
        <w:rPr>
          <w:rFonts w:ascii="仿宋" w:eastAsia="仿宋" w:hAnsi="仿宋" w:cs="仿宋" w:hint="eastAsia"/>
          <w:color w:val="000000"/>
          <w:sz w:val="32"/>
          <w:szCs w:val="32"/>
        </w:rPr>
        <w:t>未经批准迁移的省级烈士纪念设施，报经省政府批准，取消省级烈士纪念设施称号。</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color w:val="000000"/>
          <w:sz w:val="32"/>
          <w:szCs w:val="32"/>
        </w:rPr>
        <w:t>非法侵占省级烈士纪念设施保护范围内的土地、设施，破坏、污损烈士纪念设施，或者在省级烈士纪念设施保护范围内为不符合安葬条件的人员修建纪念设施、安放骨灰、遗体的，由所在地县级以上</w:t>
      </w:r>
      <w:r w:rsidR="008922B3" w:rsidRPr="005D37E5">
        <w:rPr>
          <w:rFonts w:ascii="仿宋" w:eastAsia="仿宋" w:hAnsi="仿宋" w:cs="仿宋" w:hint="eastAsia"/>
          <w:color w:val="000000"/>
          <w:sz w:val="32"/>
          <w:szCs w:val="32"/>
        </w:rPr>
        <w:t>人民政府</w:t>
      </w:r>
      <w:r w:rsidRPr="005D37E5">
        <w:rPr>
          <w:rFonts w:ascii="仿宋" w:eastAsia="仿宋" w:hAnsi="仿宋" w:cs="仿宋" w:hint="eastAsia"/>
          <w:color w:val="000000"/>
          <w:sz w:val="32"/>
          <w:szCs w:val="32"/>
        </w:rPr>
        <w:t>退役军人事务部门责令改正，恢复原状、原貌；造成损失的，依法承担赔偿责任；构成犯罪的，依法追究刑事责任。</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b/>
          <w:bCs/>
          <w:color w:val="000000"/>
          <w:sz w:val="32"/>
          <w:szCs w:val="32"/>
        </w:rPr>
        <w:t>第二十</w:t>
      </w:r>
      <w:r w:rsidR="008922B3" w:rsidRPr="005D37E5">
        <w:rPr>
          <w:rFonts w:ascii="仿宋" w:eastAsia="仿宋" w:hAnsi="仿宋" w:cs="仿宋" w:hint="eastAsia"/>
          <w:b/>
          <w:bCs/>
          <w:color w:val="000000"/>
          <w:sz w:val="32"/>
          <w:szCs w:val="32"/>
        </w:rPr>
        <w:t>五</w:t>
      </w:r>
      <w:r w:rsidRPr="005D37E5">
        <w:rPr>
          <w:rFonts w:ascii="仿宋" w:eastAsia="仿宋" w:hAnsi="仿宋" w:cs="仿宋" w:hint="eastAsia"/>
          <w:b/>
          <w:bCs/>
          <w:color w:val="000000"/>
          <w:sz w:val="32"/>
          <w:szCs w:val="32"/>
        </w:rPr>
        <w:t>条</w:t>
      </w:r>
      <w:r w:rsidRPr="005D37E5">
        <w:rPr>
          <w:rFonts w:ascii="仿宋" w:eastAsia="仿宋" w:hAnsi="仿宋" w:cs="仿宋" w:hint="eastAsia"/>
          <w:color w:val="000000"/>
          <w:sz w:val="32"/>
          <w:szCs w:val="32"/>
        </w:rPr>
        <w:t xml:space="preserve">  省级烈士纪念设施保护单位和管理单位的工作人员玩忽职守、徇私舞弊，造成烈士纪念设施、烈士史料或者遗物遭受损失的，依法给予处分；构成犯罪的，依法追究刑事责任。</w:t>
      </w:r>
    </w:p>
    <w:p w:rsidR="00ED70DB" w:rsidRPr="005D37E5" w:rsidRDefault="008922B3">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b/>
          <w:bCs/>
          <w:color w:val="000000"/>
          <w:sz w:val="32"/>
          <w:szCs w:val="32"/>
        </w:rPr>
        <w:t>第二十六</w:t>
      </w:r>
      <w:r w:rsidR="00ED70DB" w:rsidRPr="005D37E5">
        <w:rPr>
          <w:rFonts w:ascii="仿宋" w:eastAsia="仿宋" w:hAnsi="仿宋" w:cs="仿宋" w:hint="eastAsia"/>
          <w:b/>
          <w:bCs/>
          <w:color w:val="000000"/>
          <w:sz w:val="32"/>
          <w:szCs w:val="32"/>
        </w:rPr>
        <w:t>条</w:t>
      </w:r>
      <w:r w:rsidR="00ED70DB" w:rsidRPr="005D37E5">
        <w:rPr>
          <w:rFonts w:ascii="仿宋" w:eastAsia="仿宋" w:hAnsi="仿宋" w:cs="仿宋" w:hint="eastAsia"/>
          <w:color w:val="000000"/>
          <w:sz w:val="32"/>
          <w:szCs w:val="32"/>
        </w:rPr>
        <w:t xml:space="preserve">  本实施细则由辽宁省退役军人事务厅负责解释。</w:t>
      </w:r>
    </w:p>
    <w:p w:rsidR="00ED70DB" w:rsidRPr="005D37E5" w:rsidRDefault="00ED70DB">
      <w:pPr>
        <w:spacing w:line="560" w:lineRule="exact"/>
        <w:ind w:firstLine="601"/>
        <w:rPr>
          <w:rFonts w:ascii="仿宋" w:eastAsia="仿宋" w:hAnsi="仿宋" w:cs="仿宋" w:hint="eastAsia"/>
          <w:color w:val="000000"/>
          <w:sz w:val="32"/>
          <w:szCs w:val="32"/>
        </w:rPr>
      </w:pPr>
      <w:r w:rsidRPr="005D37E5">
        <w:rPr>
          <w:rFonts w:ascii="仿宋" w:eastAsia="仿宋" w:hAnsi="仿宋" w:cs="仿宋" w:hint="eastAsia"/>
          <w:b/>
          <w:bCs/>
          <w:color w:val="000000"/>
          <w:sz w:val="32"/>
          <w:szCs w:val="32"/>
        </w:rPr>
        <w:t>第二十</w:t>
      </w:r>
      <w:r w:rsidR="008922B3" w:rsidRPr="005D37E5">
        <w:rPr>
          <w:rFonts w:ascii="仿宋" w:eastAsia="仿宋" w:hAnsi="仿宋" w:cs="仿宋" w:hint="eastAsia"/>
          <w:b/>
          <w:bCs/>
          <w:color w:val="000000"/>
          <w:sz w:val="32"/>
          <w:szCs w:val="32"/>
        </w:rPr>
        <w:t>七</w:t>
      </w:r>
      <w:r w:rsidRPr="005D37E5">
        <w:rPr>
          <w:rFonts w:ascii="仿宋" w:eastAsia="仿宋" w:hAnsi="仿宋" w:cs="仿宋" w:hint="eastAsia"/>
          <w:b/>
          <w:bCs/>
          <w:color w:val="000000"/>
          <w:sz w:val="32"/>
          <w:szCs w:val="32"/>
        </w:rPr>
        <w:t>条</w:t>
      </w:r>
      <w:r w:rsidRPr="005D37E5">
        <w:rPr>
          <w:rFonts w:ascii="仿宋" w:eastAsia="仿宋" w:hAnsi="仿宋" w:cs="仿宋" w:hint="eastAsia"/>
          <w:color w:val="000000"/>
          <w:sz w:val="32"/>
          <w:szCs w:val="32"/>
        </w:rPr>
        <w:t xml:space="preserve">  本实施细则自发布之日起施行。</w:t>
      </w:r>
    </w:p>
    <w:p w:rsidR="00ED70DB" w:rsidRPr="005D37E5" w:rsidRDefault="00ED70DB">
      <w:pPr>
        <w:pStyle w:val="a0"/>
      </w:pPr>
    </w:p>
    <w:sectPr w:rsidR="00ED70DB" w:rsidRPr="005D37E5">
      <w:footerReference w:type="even" r:id="rId7"/>
      <w:footerReference w:type="default" r:id="rId8"/>
      <w:pgSz w:w="11906" w:h="16838"/>
      <w:pgMar w:top="2098" w:right="1531" w:bottom="1985" w:left="1531" w:header="851" w:footer="992" w:gutter="0"/>
      <w:pgNumType w:fmt="numberInDash" w:start="1"/>
      <w:cols w:space="720"/>
      <w:titlePg/>
      <w:docGrid w:type="linesAndChars"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651" w:rsidRDefault="000E3651">
      <w:r>
        <w:separator/>
      </w:r>
    </w:p>
  </w:endnote>
  <w:endnote w:type="continuationSeparator" w:id="0">
    <w:p w:rsidR="000E3651" w:rsidRDefault="000E3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0DB" w:rsidRDefault="00ED70DB">
    <w:pPr>
      <w:pStyle w:val="a0"/>
      <w:rPr>
        <w:rFonts w:ascii="宋体" w:hAnsi="宋体" w:hint="eastAsia"/>
        <w:sz w:val="28"/>
        <w:szCs w:val="28"/>
      </w:rPr>
    </w:pPr>
    <w:r>
      <w:rPr>
        <w:rFonts w:hint="eastAsia"/>
      </w:rPr>
      <w:t xml:space="preserve"> </w:t>
    </w:r>
    <w:r>
      <w:rPr>
        <w:rFonts w:hint="eastAsia"/>
        <w:sz w:val="28"/>
        <w:szCs w:val="28"/>
      </w:rPr>
      <w:t xml:space="preserve"> </w:t>
    </w:r>
    <w:r>
      <w:rPr>
        <w:sz w:val="28"/>
        <w:szCs w:val="28"/>
      </w:rPr>
      <w:fldChar w:fldCharType="begin"/>
    </w:r>
    <w:r>
      <w:rPr>
        <w:rStyle w:val="a5"/>
        <w:sz w:val="28"/>
        <w:szCs w:val="28"/>
      </w:rPr>
      <w:instrText xml:space="preserve"> PAGE </w:instrText>
    </w:r>
    <w:r>
      <w:rPr>
        <w:sz w:val="28"/>
        <w:szCs w:val="28"/>
      </w:rPr>
      <w:fldChar w:fldCharType="separate"/>
    </w:r>
    <w:r w:rsidR="00D71CD9">
      <w:rPr>
        <w:rStyle w:val="a5"/>
        <w:noProof/>
        <w:sz w:val="28"/>
        <w:szCs w:val="28"/>
      </w:rPr>
      <w:t>- 2 -</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0DB" w:rsidRDefault="00ED70DB">
    <w:pPr>
      <w:pStyle w:val="a0"/>
      <w:ind w:right="280"/>
      <w:jc w:val="right"/>
      <w:rPr>
        <w:sz w:val="28"/>
        <w:szCs w:val="28"/>
      </w:rPr>
    </w:pPr>
    <w:r>
      <w:rPr>
        <w:sz w:val="28"/>
        <w:szCs w:val="28"/>
      </w:rPr>
      <w:fldChar w:fldCharType="begin"/>
    </w:r>
    <w:r>
      <w:rPr>
        <w:rStyle w:val="a5"/>
        <w:sz w:val="28"/>
        <w:szCs w:val="28"/>
      </w:rPr>
      <w:instrText xml:space="preserve"> PAGE </w:instrText>
    </w:r>
    <w:r>
      <w:rPr>
        <w:sz w:val="28"/>
        <w:szCs w:val="28"/>
      </w:rPr>
      <w:fldChar w:fldCharType="separate"/>
    </w:r>
    <w:r w:rsidR="00D71CD9">
      <w:rPr>
        <w:rStyle w:val="a5"/>
        <w:noProof/>
        <w:sz w:val="28"/>
        <w:szCs w:val="28"/>
      </w:rPr>
      <w:t>- 7 -</w:t>
    </w:r>
    <w:r>
      <w:rPr>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651" w:rsidRDefault="000E3651">
      <w:r>
        <w:separator/>
      </w:r>
    </w:p>
  </w:footnote>
  <w:footnote w:type="continuationSeparator" w:id="0">
    <w:p w:rsidR="000E3651" w:rsidRDefault="000E36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201"/>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B40"/>
    <w:rsid w:val="000141F6"/>
    <w:rsid w:val="00026EC0"/>
    <w:rsid w:val="00050B17"/>
    <w:rsid w:val="000555EF"/>
    <w:rsid w:val="0006130F"/>
    <w:rsid w:val="00070417"/>
    <w:rsid w:val="00077EE2"/>
    <w:rsid w:val="000831AD"/>
    <w:rsid w:val="000E24B2"/>
    <w:rsid w:val="000E3651"/>
    <w:rsid w:val="0010697F"/>
    <w:rsid w:val="00117DCB"/>
    <w:rsid w:val="0014333B"/>
    <w:rsid w:val="00176490"/>
    <w:rsid w:val="00177CA1"/>
    <w:rsid w:val="001815A0"/>
    <w:rsid w:val="001F22F8"/>
    <w:rsid w:val="002240A4"/>
    <w:rsid w:val="00246AAF"/>
    <w:rsid w:val="0028205D"/>
    <w:rsid w:val="00286733"/>
    <w:rsid w:val="00287FDE"/>
    <w:rsid w:val="00304599"/>
    <w:rsid w:val="003743B3"/>
    <w:rsid w:val="00375E52"/>
    <w:rsid w:val="003A5220"/>
    <w:rsid w:val="003B5BF6"/>
    <w:rsid w:val="003C1A99"/>
    <w:rsid w:val="003D2A25"/>
    <w:rsid w:val="0046061B"/>
    <w:rsid w:val="00492CE5"/>
    <w:rsid w:val="00495615"/>
    <w:rsid w:val="004B45EC"/>
    <w:rsid w:val="004C39CD"/>
    <w:rsid w:val="004C78D9"/>
    <w:rsid w:val="004D7EDC"/>
    <w:rsid w:val="004F2289"/>
    <w:rsid w:val="005248A9"/>
    <w:rsid w:val="005367F5"/>
    <w:rsid w:val="00591D5A"/>
    <w:rsid w:val="00593939"/>
    <w:rsid w:val="005D37E5"/>
    <w:rsid w:val="005D6559"/>
    <w:rsid w:val="005F0C3D"/>
    <w:rsid w:val="0061227E"/>
    <w:rsid w:val="006201D6"/>
    <w:rsid w:val="00624BB6"/>
    <w:rsid w:val="00637B1C"/>
    <w:rsid w:val="0066160A"/>
    <w:rsid w:val="006972B0"/>
    <w:rsid w:val="006A05C4"/>
    <w:rsid w:val="006D6FED"/>
    <w:rsid w:val="006F19A5"/>
    <w:rsid w:val="007067C3"/>
    <w:rsid w:val="00710A49"/>
    <w:rsid w:val="00762C4A"/>
    <w:rsid w:val="00781319"/>
    <w:rsid w:val="007D25E5"/>
    <w:rsid w:val="00812813"/>
    <w:rsid w:val="00817490"/>
    <w:rsid w:val="0084384F"/>
    <w:rsid w:val="00857BD0"/>
    <w:rsid w:val="008922B3"/>
    <w:rsid w:val="008978BE"/>
    <w:rsid w:val="008A7867"/>
    <w:rsid w:val="008F39C1"/>
    <w:rsid w:val="008F4B7C"/>
    <w:rsid w:val="0090011E"/>
    <w:rsid w:val="00914DAD"/>
    <w:rsid w:val="0092634C"/>
    <w:rsid w:val="00936E17"/>
    <w:rsid w:val="009656B6"/>
    <w:rsid w:val="00984D31"/>
    <w:rsid w:val="00A111FF"/>
    <w:rsid w:val="00A21AC8"/>
    <w:rsid w:val="00A3149C"/>
    <w:rsid w:val="00A47F14"/>
    <w:rsid w:val="00A50305"/>
    <w:rsid w:val="00A74FA0"/>
    <w:rsid w:val="00A965A6"/>
    <w:rsid w:val="00AA02BA"/>
    <w:rsid w:val="00AA27E0"/>
    <w:rsid w:val="00AE507D"/>
    <w:rsid w:val="00AF5848"/>
    <w:rsid w:val="00B208E7"/>
    <w:rsid w:val="00B27359"/>
    <w:rsid w:val="00B35CC4"/>
    <w:rsid w:val="00B70839"/>
    <w:rsid w:val="00B75BBD"/>
    <w:rsid w:val="00BC62BD"/>
    <w:rsid w:val="00BD54D2"/>
    <w:rsid w:val="00C0300F"/>
    <w:rsid w:val="00C31947"/>
    <w:rsid w:val="00C5341C"/>
    <w:rsid w:val="00CC2B28"/>
    <w:rsid w:val="00D21C51"/>
    <w:rsid w:val="00D278C8"/>
    <w:rsid w:val="00D42CC0"/>
    <w:rsid w:val="00D549E6"/>
    <w:rsid w:val="00D5602C"/>
    <w:rsid w:val="00D71CD9"/>
    <w:rsid w:val="00D77086"/>
    <w:rsid w:val="00D81458"/>
    <w:rsid w:val="00DF6A94"/>
    <w:rsid w:val="00E02556"/>
    <w:rsid w:val="00E32D81"/>
    <w:rsid w:val="00E71161"/>
    <w:rsid w:val="00E747EA"/>
    <w:rsid w:val="00E76830"/>
    <w:rsid w:val="00EA3782"/>
    <w:rsid w:val="00EA787A"/>
    <w:rsid w:val="00EB674E"/>
    <w:rsid w:val="00EC0834"/>
    <w:rsid w:val="00EC5C9C"/>
    <w:rsid w:val="00ED70DB"/>
    <w:rsid w:val="00F1662B"/>
    <w:rsid w:val="00F6566C"/>
    <w:rsid w:val="00F85D4E"/>
    <w:rsid w:val="00FA7B40"/>
    <w:rsid w:val="078D704C"/>
    <w:rsid w:val="0A9E70D4"/>
    <w:rsid w:val="0CAA5C33"/>
    <w:rsid w:val="11A44BD3"/>
    <w:rsid w:val="1E5372CC"/>
    <w:rsid w:val="2D203FE0"/>
    <w:rsid w:val="35502CDF"/>
    <w:rsid w:val="4760765B"/>
    <w:rsid w:val="4B8A7F21"/>
    <w:rsid w:val="4FAD7C83"/>
    <w:rsid w:val="4FE95604"/>
    <w:rsid w:val="50227D72"/>
    <w:rsid w:val="510B6E49"/>
    <w:rsid w:val="521362B0"/>
    <w:rsid w:val="52677AC6"/>
    <w:rsid w:val="570333F0"/>
    <w:rsid w:val="59760829"/>
    <w:rsid w:val="68AD3196"/>
    <w:rsid w:val="6AFD3454"/>
    <w:rsid w:val="74EB699C"/>
    <w:rsid w:val="797E0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0" w:unhideWhenUsed="0"/>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20" w:unhideWhenUsed="0" w:qFormat="1"/>
    <w:lsdException w:name="Normal Table" w:uiPriority="0" w:unhideWhenUsed="0"/>
    <w:lsdException w:name="Balloon Text" w:semiHidden="0"/>
    <w:lsdException w:name="Table Grid" w:semiHidden="0" w:uiPriority="59" w:unhideWhenUsed="0" w:qFormat="1"/>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3">
    <w:name w:val="heading 3"/>
    <w:basedOn w:val="a"/>
    <w:next w:val="a"/>
    <w:qFormat/>
    <w:pPr>
      <w:keepNext/>
      <w:keepLines/>
      <w:spacing w:before="260" w:after="260" w:line="416" w:lineRule="auto"/>
      <w:outlineLvl w:val="2"/>
    </w:pPr>
    <w:rPr>
      <w:b/>
      <w:bCs/>
    </w:r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眉 Char"/>
    <w:link w:val="a4"/>
    <w:uiPriority w:val="99"/>
    <w:semiHidden/>
    <w:rPr>
      <w:kern w:val="2"/>
      <w:sz w:val="18"/>
      <w:szCs w:val="18"/>
    </w:rPr>
  </w:style>
  <w:style w:type="character" w:styleId="a5">
    <w:name w:val="page number"/>
    <w:basedOn w:val="a1"/>
  </w:style>
  <w:style w:type="character" w:customStyle="1" w:styleId="Char0">
    <w:name w:val="页脚 Char"/>
    <w:link w:val="a0"/>
    <w:uiPriority w:val="99"/>
    <w:semiHidden/>
    <w:rPr>
      <w:kern w:val="2"/>
      <w:sz w:val="18"/>
      <w:szCs w:val="18"/>
    </w:rPr>
  </w:style>
  <w:style w:type="character" w:customStyle="1" w:styleId="Char1">
    <w:name w:val="批注框文本 Char"/>
    <w:link w:val="a6"/>
    <w:uiPriority w:val="99"/>
    <w:semiHidden/>
    <w:rPr>
      <w:kern w:val="2"/>
      <w:sz w:val="18"/>
      <w:szCs w:val="18"/>
    </w:rPr>
  </w:style>
  <w:style w:type="paragraph" w:styleId="a7">
    <w:name w:val="Date"/>
    <w:basedOn w:val="a"/>
    <w:next w:val="a"/>
    <w:pPr>
      <w:ind w:leftChars="2500" w:left="100"/>
    </w:p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1"/>
    <w:uiPriority w:val="99"/>
    <w:unhideWhenUsed/>
    <w:rPr>
      <w:sz w:val="18"/>
      <w:szCs w:val="18"/>
    </w:rPr>
  </w:style>
  <w:style w:type="paragraph" w:styleId="a0">
    <w:name w:val="footer"/>
    <w:basedOn w:val="a"/>
    <w:link w:val="Char0"/>
    <w:uiPriority w:val="99"/>
    <w:unhideWhenUsed/>
    <w:pPr>
      <w:tabs>
        <w:tab w:val="center" w:pos="4153"/>
        <w:tab w:val="right" w:pos="8306"/>
      </w:tabs>
      <w:snapToGrid w:val="0"/>
      <w:jc w:val="left"/>
    </w:pPr>
    <w:rPr>
      <w:sz w:val="18"/>
      <w:szCs w:val="18"/>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0" w:unhideWhenUsed="0"/>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20" w:unhideWhenUsed="0" w:qFormat="1"/>
    <w:lsdException w:name="Normal Table" w:uiPriority="0" w:unhideWhenUsed="0"/>
    <w:lsdException w:name="Balloon Text" w:semiHidden="0"/>
    <w:lsdException w:name="Table Grid" w:semiHidden="0" w:uiPriority="59" w:unhideWhenUsed="0" w:qFormat="1"/>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3">
    <w:name w:val="heading 3"/>
    <w:basedOn w:val="a"/>
    <w:next w:val="a"/>
    <w:qFormat/>
    <w:pPr>
      <w:keepNext/>
      <w:keepLines/>
      <w:spacing w:before="260" w:after="260" w:line="416" w:lineRule="auto"/>
      <w:outlineLvl w:val="2"/>
    </w:pPr>
    <w:rPr>
      <w:b/>
      <w:bCs/>
    </w:r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眉 Char"/>
    <w:link w:val="a4"/>
    <w:uiPriority w:val="99"/>
    <w:semiHidden/>
    <w:rPr>
      <w:kern w:val="2"/>
      <w:sz w:val="18"/>
      <w:szCs w:val="18"/>
    </w:rPr>
  </w:style>
  <w:style w:type="character" w:styleId="a5">
    <w:name w:val="page number"/>
    <w:basedOn w:val="a1"/>
  </w:style>
  <w:style w:type="character" w:customStyle="1" w:styleId="Char0">
    <w:name w:val="页脚 Char"/>
    <w:link w:val="a0"/>
    <w:uiPriority w:val="99"/>
    <w:semiHidden/>
    <w:rPr>
      <w:kern w:val="2"/>
      <w:sz w:val="18"/>
      <w:szCs w:val="18"/>
    </w:rPr>
  </w:style>
  <w:style w:type="character" w:customStyle="1" w:styleId="Char1">
    <w:name w:val="批注框文本 Char"/>
    <w:link w:val="a6"/>
    <w:uiPriority w:val="99"/>
    <w:semiHidden/>
    <w:rPr>
      <w:kern w:val="2"/>
      <w:sz w:val="18"/>
      <w:szCs w:val="18"/>
    </w:rPr>
  </w:style>
  <w:style w:type="paragraph" w:styleId="a7">
    <w:name w:val="Date"/>
    <w:basedOn w:val="a"/>
    <w:next w:val="a"/>
    <w:pPr>
      <w:ind w:leftChars="2500" w:left="100"/>
    </w:p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1"/>
    <w:uiPriority w:val="99"/>
    <w:unhideWhenUsed/>
    <w:rPr>
      <w:sz w:val="18"/>
      <w:szCs w:val="18"/>
    </w:rPr>
  </w:style>
  <w:style w:type="paragraph" w:styleId="a0">
    <w:name w:val="footer"/>
    <w:basedOn w:val="a"/>
    <w:link w:val="Char0"/>
    <w:uiPriority w:val="99"/>
    <w:unhideWhenUsed/>
    <w:pPr>
      <w:tabs>
        <w:tab w:val="center" w:pos="4153"/>
        <w:tab w:val="right" w:pos="8306"/>
      </w:tabs>
      <w:snapToGrid w:val="0"/>
      <w:jc w:val="left"/>
    </w:pPr>
    <w:rPr>
      <w:sz w:val="18"/>
      <w:szCs w:val="18"/>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531</Words>
  <Characters>3030</Characters>
  <Application>Microsoft Office Word</Application>
  <DocSecurity>0</DocSecurity>
  <Lines>25</Lines>
  <Paragraphs>7</Paragraphs>
  <ScaleCrop>false</ScaleCrop>
  <Company>番茄花园</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样本</dc:title>
  <dc:creator>刘吉刚</dc:creator>
  <cp:lastModifiedBy>xb21cn</cp:lastModifiedBy>
  <cp:revision>2</cp:revision>
  <cp:lastPrinted>2024-04-15T06:30:00Z</cp:lastPrinted>
  <dcterms:created xsi:type="dcterms:W3CDTF">2024-05-06T05:52:00Z</dcterms:created>
  <dcterms:modified xsi:type="dcterms:W3CDTF">2024-05-06T05:52:00Z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