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烈属、因公牺牲军人遗属、病故军人遗属定期抚恤金标准表</w:t>
      </w:r>
    </w:p>
    <w:p>
      <w:pPr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（从202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年8月1日起执行）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单位：元/年</w:t>
      </w:r>
    </w:p>
    <w:tbl>
      <w:tblPr>
        <w:tblStyle w:val="3"/>
        <w:tblW w:w="89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2790"/>
        <w:gridCol w:w="3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烈属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因公牺牲军人遗属</w:t>
            </w:r>
          </w:p>
        </w:tc>
        <w:tc>
          <w:tcPr>
            <w:tcW w:w="3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病故军人遗属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  <w:t>36910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"/>
              </w:rPr>
              <w:t>31410</w:t>
            </w:r>
          </w:p>
        </w:tc>
        <w:tc>
          <w:tcPr>
            <w:tcW w:w="3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"/>
              </w:rPr>
              <w:t>29280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1188"/>
          <w:tab w:val="left" w:pos="2283"/>
          <w:tab w:val="left" w:pos="4381"/>
        </w:tabs>
        <w:spacing w:before="0" w:beforeAutospacing="0" w:after="0" w:afterAutospacing="0"/>
        <w:ind w:left="93" w:right="0"/>
        <w:jc w:val="left"/>
        <w:rPr>
          <w:rFonts w:hint="eastAsia" w:ascii="宋体" w:hAnsi="Calibri" w:eastAsia="宋体" w:cs="宋体"/>
          <w:sz w:val="24"/>
          <w:szCs w:val="24"/>
          <w:lang w:val="en-US"/>
        </w:rPr>
      </w:pPr>
      <w:r>
        <w:rPr>
          <w:rFonts w:hint="eastAsia" w:ascii="宋体" w:hAnsi="Calibri" w:eastAsia="宋体" w:cs="宋体"/>
          <w:color w:val="auto"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宋体" w:hAnsi="Calibri" w:eastAsia="宋体" w:cs="宋体"/>
          <w:color w:val="auto"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宋体" w:hAnsi="Calibri" w:eastAsia="宋体" w:cs="宋体"/>
          <w:color w:val="auto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93" w:right="0"/>
        <w:jc w:val="both"/>
        <w:rPr>
          <w:rFonts w:hint="eastAsia" w:ascii="宋体" w:hAnsi="Calibri" w:eastAsia="宋体" w:cs="宋体"/>
          <w:b/>
          <w:sz w:val="28"/>
          <w:szCs w:val="28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5B5D"/>
    <w:rsid w:val="2960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2022-11-21T02:34:18Z</dcterms:created>
  <dc:creator>liubo</dc:creator>
  <cp:lastModifiedBy>xiaobo</cp:lastModifiedBy>
  <dcterms:modified xsi:type="dcterms:W3CDTF">2022-11-21T02:34:34Z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